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20" w:type="dxa"/>
        <w:tblBorders>
          <w:top w:val="nil"/>
          <w:left w:val="nil"/>
          <w:bottom w:val="nil"/>
          <w:right w:val="nil"/>
        </w:tblBorders>
        <w:tblLayout w:type="fixed"/>
        <w:tblLook w:val="0000"/>
      </w:tblPr>
      <w:tblGrid>
        <w:gridCol w:w="7621"/>
        <w:gridCol w:w="1099"/>
      </w:tblGrid>
      <w:tr w:rsidR="00A85F21" w:rsidTr="004E0E4A">
        <w:trPr>
          <w:trHeight w:val="383"/>
        </w:trPr>
        <w:tc>
          <w:tcPr>
            <w:tcW w:w="7621" w:type="dxa"/>
          </w:tcPr>
          <w:p w:rsidR="00A85F21" w:rsidRPr="00BF7AAD" w:rsidRDefault="00A85F21" w:rsidP="00BF7AAD">
            <w:pPr>
              <w:pStyle w:val="Default"/>
              <w:jc w:val="center"/>
              <w:rPr>
                <w:b/>
                <w:sz w:val="28"/>
                <w:szCs w:val="28"/>
              </w:rPr>
            </w:pPr>
            <w:r w:rsidRPr="00BF7AAD">
              <w:rPr>
                <w:b/>
                <w:sz w:val="28"/>
                <w:szCs w:val="28"/>
              </w:rPr>
              <w:t>INSTRUÇÃO DE PROCESSO PARA PAGAMENTO DE</w:t>
            </w:r>
          </w:p>
        </w:tc>
        <w:tc>
          <w:tcPr>
            <w:tcW w:w="1099" w:type="dxa"/>
          </w:tcPr>
          <w:p w:rsidR="00A85F21" w:rsidRPr="00BF7AAD" w:rsidRDefault="00A85F21" w:rsidP="00BF7AAD">
            <w:pPr>
              <w:pStyle w:val="Default"/>
              <w:jc w:val="center"/>
              <w:rPr>
                <w:b/>
                <w:sz w:val="28"/>
                <w:szCs w:val="28"/>
              </w:rPr>
            </w:pPr>
          </w:p>
        </w:tc>
      </w:tr>
      <w:tr w:rsidR="00A85F21" w:rsidTr="0029243D">
        <w:trPr>
          <w:trHeight w:val="558"/>
        </w:trPr>
        <w:tc>
          <w:tcPr>
            <w:tcW w:w="7621" w:type="dxa"/>
            <w:tcBorders>
              <w:bottom w:val="single" w:sz="5" w:space="0" w:color="000000"/>
            </w:tcBorders>
          </w:tcPr>
          <w:p w:rsidR="00A85F21" w:rsidRPr="00BF7AAD" w:rsidRDefault="00A85F21" w:rsidP="00BF7AAD">
            <w:pPr>
              <w:pStyle w:val="Default"/>
              <w:jc w:val="center"/>
              <w:rPr>
                <w:b/>
                <w:sz w:val="28"/>
                <w:szCs w:val="28"/>
              </w:rPr>
            </w:pPr>
            <w:r w:rsidRPr="00BF7AAD">
              <w:rPr>
                <w:b/>
                <w:sz w:val="28"/>
                <w:szCs w:val="28"/>
              </w:rPr>
              <w:t>INSCRIÇÃO DE SERVIDOR EM EVENTO</w:t>
            </w:r>
          </w:p>
        </w:tc>
        <w:tc>
          <w:tcPr>
            <w:tcW w:w="1099" w:type="dxa"/>
            <w:tcBorders>
              <w:bottom w:val="single" w:sz="5" w:space="0" w:color="000000"/>
            </w:tcBorders>
          </w:tcPr>
          <w:p w:rsidR="00A85F21" w:rsidRPr="00BF7AAD" w:rsidRDefault="00A85F21" w:rsidP="00BF7AAD">
            <w:pPr>
              <w:pStyle w:val="Default"/>
              <w:jc w:val="center"/>
              <w:rPr>
                <w:b/>
                <w:sz w:val="28"/>
                <w:szCs w:val="28"/>
              </w:rPr>
            </w:pPr>
          </w:p>
        </w:tc>
      </w:tr>
      <w:tr w:rsidR="00A85F21" w:rsidRPr="00BF7AAD" w:rsidTr="004E0E4A">
        <w:trPr>
          <w:trHeight w:val="568"/>
        </w:trPr>
        <w:tc>
          <w:tcPr>
            <w:tcW w:w="7621"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A85F21" w:rsidRPr="00BF7AAD" w:rsidRDefault="00A85F21" w:rsidP="00BF7AAD">
            <w:pPr>
              <w:pStyle w:val="Default"/>
              <w:jc w:val="center"/>
              <w:rPr>
                <w:b/>
                <w:sz w:val="22"/>
                <w:szCs w:val="22"/>
              </w:rPr>
            </w:pPr>
            <w:r w:rsidRPr="00BF7AAD">
              <w:rPr>
                <w:b/>
                <w:sz w:val="22"/>
                <w:szCs w:val="22"/>
              </w:rPr>
              <w:t>Evento singular e ministrado por detentores de notória especialização – Inexigibilidade de Licitação (Lei 8.666/93, art. 25, inciso II</w:t>
            </w:r>
            <w:proofErr w:type="gramStart"/>
            <w:r w:rsidRPr="00BF7AAD">
              <w:rPr>
                <w:b/>
                <w:sz w:val="22"/>
                <w:szCs w:val="22"/>
              </w:rPr>
              <w:t>)</w:t>
            </w:r>
            <w:proofErr w:type="gramEnd"/>
          </w:p>
        </w:tc>
        <w:tc>
          <w:tcPr>
            <w:tcW w:w="1099" w:type="dxa"/>
            <w:tcBorders>
              <w:top w:val="single" w:sz="5" w:space="0" w:color="000000"/>
              <w:left w:val="single" w:sz="5" w:space="0" w:color="000000"/>
              <w:bottom w:val="single" w:sz="5" w:space="0" w:color="000000"/>
              <w:right w:val="single" w:sz="5" w:space="0" w:color="000000"/>
            </w:tcBorders>
            <w:shd w:val="clear" w:color="auto" w:fill="E6E6E6"/>
          </w:tcPr>
          <w:p w:rsidR="00A85F21" w:rsidRPr="00BF7AAD" w:rsidRDefault="0039153C" w:rsidP="00BF7AAD">
            <w:pPr>
              <w:pStyle w:val="Default"/>
              <w:jc w:val="center"/>
              <w:rPr>
                <w:b/>
                <w:sz w:val="22"/>
                <w:szCs w:val="22"/>
              </w:rPr>
            </w:pPr>
            <w:r>
              <w:rPr>
                <w:b/>
                <w:sz w:val="22"/>
                <w:szCs w:val="22"/>
              </w:rPr>
              <w:t>Sim/Não</w:t>
            </w:r>
          </w:p>
        </w:tc>
      </w:tr>
      <w:tr w:rsidR="00A85F21" w:rsidTr="004E0E4A">
        <w:trPr>
          <w:trHeight w:val="340"/>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Solicitação do serviço, com descrição clara do objeto</w:t>
            </w:r>
            <w:r w:rsidR="0039153C">
              <w:rPr>
                <w:sz w:val="22"/>
                <w:szCs w:val="22"/>
              </w:rPr>
              <w:t>.</w:t>
            </w:r>
          </w:p>
        </w:tc>
        <w:tc>
          <w:tcPr>
            <w:tcW w:w="1099" w:type="dxa"/>
            <w:tcBorders>
              <w:top w:val="sing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A85F21" w:rsidTr="004E0E4A">
        <w:trPr>
          <w:trHeight w:val="338"/>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Autorização da autoridade máxima da unidade da qual o servidor faz parte</w:t>
            </w:r>
            <w:r w:rsidR="0039153C">
              <w:rPr>
                <w:sz w:val="22"/>
                <w:szCs w:val="22"/>
              </w:rPr>
              <w:t>.</w:t>
            </w:r>
            <w:r>
              <w:rPr>
                <w:sz w:val="22"/>
                <w:szCs w:val="22"/>
              </w:rPr>
              <w:t xml:space="preserve"> </w:t>
            </w:r>
          </w:p>
        </w:tc>
        <w:tc>
          <w:tcPr>
            <w:tcW w:w="1099" w:type="dxa"/>
            <w:tcBorders>
              <w:top w:val="sing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A85F21" w:rsidTr="004E0E4A">
        <w:trPr>
          <w:trHeight w:val="340"/>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Justificativa da necessidade da participação do servidor no evento</w:t>
            </w:r>
            <w:r w:rsidR="0039153C">
              <w:rPr>
                <w:sz w:val="22"/>
                <w:szCs w:val="22"/>
              </w:rPr>
              <w:t>.</w:t>
            </w:r>
          </w:p>
        </w:tc>
        <w:tc>
          <w:tcPr>
            <w:tcW w:w="1099" w:type="dxa"/>
            <w:tcBorders>
              <w:top w:val="sing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A85F21" w:rsidTr="004E0E4A">
        <w:trPr>
          <w:trHeight w:val="338"/>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Indicação dos recursos para a cobertura da despesa</w:t>
            </w:r>
            <w:r w:rsidR="0039153C">
              <w:rPr>
                <w:sz w:val="22"/>
                <w:szCs w:val="22"/>
              </w:rPr>
              <w:t>.</w:t>
            </w:r>
          </w:p>
        </w:tc>
        <w:tc>
          <w:tcPr>
            <w:tcW w:w="1099" w:type="dxa"/>
            <w:tcBorders>
              <w:top w:val="single" w:sz="5" w:space="0" w:color="000000"/>
              <w:left w:val="single" w:sz="5" w:space="0" w:color="000000"/>
              <w:bottom w:val="single" w:sz="5" w:space="0" w:color="000000"/>
              <w:right w:val="single" w:sz="5" w:space="0" w:color="000000"/>
            </w:tcBorders>
          </w:tcPr>
          <w:p w:rsidR="00A85F21" w:rsidRDefault="00A85F21">
            <w:pPr>
              <w:pStyle w:val="Default"/>
              <w:rPr>
                <w:sz w:val="22"/>
                <w:szCs w:val="22"/>
              </w:rPr>
            </w:pPr>
          </w:p>
        </w:tc>
      </w:tr>
      <w:tr w:rsidR="00A85F21" w:rsidTr="004E0E4A">
        <w:trPr>
          <w:trHeight w:val="340"/>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Especificação do evento (folder, site, etc.)</w:t>
            </w:r>
            <w:r w:rsidR="0039153C">
              <w:rPr>
                <w:sz w:val="22"/>
                <w:szCs w:val="22"/>
              </w:rPr>
              <w:t>.</w:t>
            </w:r>
          </w:p>
        </w:tc>
        <w:tc>
          <w:tcPr>
            <w:tcW w:w="1099" w:type="dxa"/>
            <w:tcBorders>
              <w:top w:val="sing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A85F21" w:rsidTr="004E0E4A">
        <w:trPr>
          <w:trHeight w:val="738"/>
        </w:trPr>
        <w:tc>
          <w:tcPr>
            <w:tcW w:w="7621" w:type="dxa"/>
            <w:tcBorders>
              <w:top w:val="single" w:sz="5" w:space="0" w:color="000000"/>
              <w:left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Justificativa da exclusividade do evento (evento singular e ministrado por detentores de notória especialização)</w:t>
            </w:r>
            <w:r w:rsidR="0039153C">
              <w:rPr>
                <w:sz w:val="22"/>
                <w:szCs w:val="22"/>
              </w:rPr>
              <w:t>.</w:t>
            </w:r>
          </w:p>
        </w:tc>
        <w:tc>
          <w:tcPr>
            <w:tcW w:w="1099" w:type="dxa"/>
            <w:tcBorders>
              <w:top w:val="single" w:sz="5" w:space="0" w:color="000000"/>
              <w:left w:val="single" w:sz="5" w:space="0" w:color="000000"/>
              <w:right w:val="single" w:sz="5" w:space="0" w:color="000000"/>
            </w:tcBorders>
          </w:tcPr>
          <w:p w:rsidR="00A85F21" w:rsidRDefault="00A85F21">
            <w:pPr>
              <w:pStyle w:val="Default"/>
              <w:rPr>
                <w:sz w:val="22"/>
                <w:szCs w:val="22"/>
              </w:rPr>
            </w:pPr>
          </w:p>
        </w:tc>
      </w:tr>
      <w:tr w:rsidR="00A85F21" w:rsidTr="004E0E4A">
        <w:trPr>
          <w:trHeight w:val="1183"/>
        </w:trPr>
        <w:tc>
          <w:tcPr>
            <w:tcW w:w="7621" w:type="dxa"/>
            <w:tcBorders>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i/>
                <w:iCs/>
                <w:sz w:val="22"/>
                <w:szCs w:val="22"/>
              </w:rPr>
              <w:t>“Contrata-se por inexigibilidade de licitação com fundamento no art. 25, inc. II, da Lei nº 8.666, de 1993, conferencistas para ministrar cursos para treinamento e aperfeiçoamento de pessoal, ou a inscrição em cursos abertos, desde que caracterizada a singularidade do objeto e verificado tratar-se de notório especialista”. (Orientação Nor</w:t>
            </w:r>
            <w:r w:rsidR="0039153C">
              <w:rPr>
                <w:i/>
                <w:iCs/>
                <w:sz w:val="22"/>
                <w:szCs w:val="22"/>
              </w:rPr>
              <w:t>mativa AGU nº 18, de 01.04.2009).</w:t>
            </w:r>
            <w:r>
              <w:rPr>
                <w:i/>
                <w:iCs/>
                <w:sz w:val="22"/>
                <w:szCs w:val="22"/>
              </w:rPr>
              <w:t xml:space="preserve"> </w:t>
            </w:r>
          </w:p>
        </w:tc>
        <w:tc>
          <w:tcPr>
            <w:tcW w:w="1099" w:type="dxa"/>
            <w:tcBorders>
              <w:left w:val="single" w:sz="5" w:space="0" w:color="000000"/>
              <w:bottom w:val="single" w:sz="5" w:space="0" w:color="000000"/>
              <w:right w:val="single" w:sz="5" w:space="0" w:color="000000"/>
            </w:tcBorders>
          </w:tcPr>
          <w:p w:rsidR="00A85F21" w:rsidRPr="001E0B30" w:rsidRDefault="001E0B30">
            <w:pPr>
              <w:pStyle w:val="Default"/>
              <w:rPr>
                <w:iCs/>
                <w:sz w:val="22"/>
                <w:szCs w:val="22"/>
              </w:rPr>
            </w:pPr>
            <w:r w:rsidRPr="001E0B30">
              <w:rPr>
                <w:iCs/>
                <w:sz w:val="22"/>
                <w:szCs w:val="22"/>
              </w:rPr>
              <w:t>S</w:t>
            </w:r>
          </w:p>
        </w:tc>
      </w:tr>
      <w:tr w:rsidR="00A85F21" w:rsidTr="004E0E4A">
        <w:trPr>
          <w:trHeight w:val="423"/>
        </w:trPr>
        <w:tc>
          <w:tcPr>
            <w:tcW w:w="7621" w:type="dxa"/>
            <w:tcBorders>
              <w:top w:val="single" w:sz="5" w:space="0" w:color="000000"/>
              <w:left w:val="single" w:sz="5" w:space="0" w:color="000000"/>
              <w:right w:val="single" w:sz="5" w:space="0" w:color="000000"/>
            </w:tcBorders>
          </w:tcPr>
          <w:p w:rsidR="00A85F21" w:rsidRDefault="00A85F21" w:rsidP="0039153C">
            <w:pPr>
              <w:pStyle w:val="Default"/>
              <w:jc w:val="both"/>
              <w:rPr>
                <w:sz w:val="22"/>
                <w:szCs w:val="22"/>
              </w:rPr>
            </w:pPr>
            <w:r>
              <w:rPr>
                <w:sz w:val="22"/>
                <w:szCs w:val="22"/>
              </w:rPr>
              <w:t>Comprovação da notória especialização dos responsáveis pelo evento</w:t>
            </w:r>
            <w:r w:rsidR="0039153C">
              <w:rPr>
                <w:sz w:val="22"/>
                <w:szCs w:val="22"/>
              </w:rPr>
              <w:t>.</w:t>
            </w:r>
          </w:p>
        </w:tc>
        <w:tc>
          <w:tcPr>
            <w:tcW w:w="1099" w:type="dxa"/>
            <w:tcBorders>
              <w:top w:val="single" w:sz="5" w:space="0" w:color="000000"/>
              <w:left w:val="single" w:sz="5" w:space="0" w:color="000000"/>
              <w:right w:val="single" w:sz="5" w:space="0" w:color="000000"/>
            </w:tcBorders>
          </w:tcPr>
          <w:p w:rsidR="00A85F21" w:rsidRDefault="00A85F21">
            <w:pPr>
              <w:pStyle w:val="Default"/>
              <w:rPr>
                <w:sz w:val="22"/>
                <w:szCs w:val="22"/>
              </w:rPr>
            </w:pPr>
          </w:p>
        </w:tc>
      </w:tr>
      <w:tr w:rsidR="00A85F21" w:rsidTr="004E0E4A">
        <w:trPr>
          <w:trHeight w:val="1378"/>
        </w:trPr>
        <w:tc>
          <w:tcPr>
            <w:tcW w:w="7621" w:type="dxa"/>
            <w:tcBorders>
              <w:left w:val="single" w:sz="5" w:space="0" w:color="000000"/>
              <w:bottom w:val="single" w:sz="5" w:space="0" w:color="000000"/>
              <w:right w:val="single" w:sz="5" w:space="0" w:color="000000"/>
            </w:tcBorders>
            <w:vAlign w:val="bottom"/>
          </w:tcPr>
          <w:p w:rsidR="00A85F21" w:rsidRDefault="00A85F21" w:rsidP="0039153C">
            <w:pPr>
              <w:pStyle w:val="Default"/>
              <w:jc w:val="both"/>
              <w:rPr>
                <w:sz w:val="22"/>
                <w:szCs w:val="22"/>
              </w:rPr>
            </w:pPr>
            <w:r>
              <w:rPr>
                <w:sz w:val="22"/>
                <w:szCs w:val="22"/>
              </w:rPr>
              <w:t xml:space="preserve">Conforme o art. 25, § 1º, da Lei 8.666/93,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 </w:t>
            </w:r>
          </w:p>
        </w:tc>
        <w:tc>
          <w:tcPr>
            <w:tcW w:w="1099" w:type="dxa"/>
            <w:tcBorders>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A85F21" w:rsidTr="004E0E4A">
        <w:trPr>
          <w:trHeight w:val="293"/>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Confirmação da inscrição (declaração, ofício, e-mail, etc.)</w:t>
            </w:r>
            <w:r w:rsidR="0039153C">
              <w:rPr>
                <w:sz w:val="22"/>
                <w:szCs w:val="22"/>
              </w:rPr>
              <w:t>.</w:t>
            </w:r>
          </w:p>
        </w:tc>
        <w:tc>
          <w:tcPr>
            <w:tcW w:w="1099" w:type="dxa"/>
            <w:tcBorders>
              <w:top w:val="single" w:sz="5" w:space="0" w:color="000000"/>
              <w:left w:val="single" w:sz="5" w:space="0" w:color="000000"/>
              <w:bottom w:val="single" w:sz="5" w:space="0" w:color="000000"/>
              <w:right w:val="single" w:sz="5" w:space="0" w:color="000000"/>
            </w:tcBorders>
          </w:tcPr>
          <w:p w:rsidR="00A85F21" w:rsidRDefault="00A85F21">
            <w:pPr>
              <w:pStyle w:val="Default"/>
              <w:rPr>
                <w:sz w:val="22"/>
                <w:szCs w:val="22"/>
              </w:rPr>
            </w:pPr>
          </w:p>
        </w:tc>
      </w:tr>
      <w:tr w:rsidR="00A85F21" w:rsidTr="004E0E4A">
        <w:trPr>
          <w:trHeight w:val="568"/>
        </w:trPr>
        <w:tc>
          <w:tcPr>
            <w:tcW w:w="7621" w:type="dxa"/>
            <w:tcBorders>
              <w:top w:val="sing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Boleto bancário ou indicação de dados bancários e CNPJ da organizadora do evento/quem receberá o pagamento da inscrição</w:t>
            </w:r>
            <w:r w:rsidR="0039153C">
              <w:rPr>
                <w:sz w:val="22"/>
                <w:szCs w:val="22"/>
              </w:rPr>
              <w:t>.</w:t>
            </w:r>
            <w:r>
              <w:rPr>
                <w:sz w:val="22"/>
                <w:szCs w:val="22"/>
              </w:rPr>
              <w:t xml:space="preserve"> </w:t>
            </w:r>
          </w:p>
        </w:tc>
        <w:tc>
          <w:tcPr>
            <w:tcW w:w="1099" w:type="dxa"/>
            <w:tcBorders>
              <w:top w:val="sing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39153C" w:rsidTr="004E0E4A">
        <w:trPr>
          <w:trHeight w:val="568"/>
        </w:trPr>
        <w:tc>
          <w:tcPr>
            <w:tcW w:w="7621" w:type="dxa"/>
            <w:tcBorders>
              <w:top w:val="single" w:sz="5" w:space="0" w:color="000000"/>
              <w:left w:val="single" w:sz="5" w:space="0" w:color="000000"/>
              <w:bottom w:val="single" w:sz="5" w:space="0" w:color="000000"/>
              <w:right w:val="single" w:sz="5" w:space="0" w:color="000000"/>
            </w:tcBorders>
            <w:vAlign w:val="center"/>
          </w:tcPr>
          <w:p w:rsidR="0039153C" w:rsidRDefault="0039153C" w:rsidP="0039153C">
            <w:pPr>
              <w:pStyle w:val="Default"/>
              <w:jc w:val="both"/>
              <w:rPr>
                <w:sz w:val="22"/>
                <w:szCs w:val="22"/>
              </w:rPr>
            </w:pPr>
            <w:r>
              <w:rPr>
                <w:sz w:val="22"/>
                <w:szCs w:val="22"/>
              </w:rPr>
              <w:t>Documentos de regularidade fiscal da organizadora do evento/ quem receberá o pagamento da inscrição.</w:t>
            </w:r>
          </w:p>
        </w:tc>
        <w:tc>
          <w:tcPr>
            <w:tcW w:w="1099" w:type="dxa"/>
            <w:tcBorders>
              <w:top w:val="single" w:sz="5" w:space="0" w:color="000000"/>
              <w:left w:val="single" w:sz="5" w:space="0" w:color="000000"/>
              <w:bottom w:val="single" w:sz="5" w:space="0" w:color="000000"/>
              <w:right w:val="single" w:sz="5" w:space="0" w:color="000000"/>
            </w:tcBorders>
          </w:tcPr>
          <w:p w:rsidR="0039153C" w:rsidRDefault="0039153C">
            <w:pPr>
              <w:pStyle w:val="Default"/>
              <w:rPr>
                <w:sz w:val="22"/>
                <w:szCs w:val="22"/>
              </w:rPr>
            </w:pPr>
          </w:p>
        </w:tc>
      </w:tr>
      <w:tr w:rsidR="00A85F21" w:rsidTr="004E0E4A">
        <w:trPr>
          <w:trHeight w:val="568"/>
        </w:trPr>
        <w:tc>
          <w:tcPr>
            <w:tcW w:w="7621" w:type="dxa"/>
            <w:tcBorders>
              <w:top w:val="double" w:sz="5" w:space="0" w:color="000000"/>
              <w:left w:val="single" w:sz="5" w:space="0" w:color="000000"/>
              <w:bottom w:val="single" w:sz="5" w:space="0" w:color="000000"/>
              <w:right w:val="single" w:sz="5" w:space="0" w:color="000000"/>
            </w:tcBorders>
            <w:vAlign w:val="center"/>
          </w:tcPr>
          <w:p w:rsidR="00A85F21" w:rsidRDefault="00A85F21" w:rsidP="0039153C">
            <w:pPr>
              <w:pStyle w:val="Default"/>
              <w:jc w:val="both"/>
              <w:rPr>
                <w:sz w:val="22"/>
                <w:szCs w:val="22"/>
              </w:rPr>
            </w:pPr>
            <w:r>
              <w:rPr>
                <w:sz w:val="22"/>
                <w:szCs w:val="22"/>
              </w:rPr>
              <w:t xml:space="preserve">Justificativa de prática do preço (comprovação de que o valor da inscrição é o mesmo para todos os </w:t>
            </w:r>
            <w:proofErr w:type="gramStart"/>
            <w:r>
              <w:rPr>
                <w:sz w:val="22"/>
                <w:szCs w:val="22"/>
              </w:rPr>
              <w:t>inscritos -folder</w:t>
            </w:r>
            <w:proofErr w:type="gramEnd"/>
            <w:r>
              <w:rPr>
                <w:sz w:val="22"/>
                <w:szCs w:val="22"/>
              </w:rPr>
              <w:t xml:space="preserve">, site, etc.) </w:t>
            </w:r>
          </w:p>
        </w:tc>
        <w:tc>
          <w:tcPr>
            <w:tcW w:w="1099" w:type="dxa"/>
            <w:tcBorders>
              <w:top w:val="double" w:sz="5" w:space="0" w:color="000000"/>
              <w:left w:val="single" w:sz="5" w:space="0" w:color="000000"/>
              <w:bottom w:val="single" w:sz="5" w:space="0" w:color="000000"/>
              <w:right w:val="single" w:sz="5" w:space="0" w:color="000000"/>
            </w:tcBorders>
          </w:tcPr>
          <w:p w:rsidR="00A85F21" w:rsidRDefault="001E0B30">
            <w:pPr>
              <w:pStyle w:val="Default"/>
              <w:rPr>
                <w:sz w:val="22"/>
                <w:szCs w:val="22"/>
              </w:rPr>
            </w:pPr>
            <w:r>
              <w:rPr>
                <w:sz w:val="22"/>
                <w:szCs w:val="22"/>
              </w:rPr>
              <w:t>S</w:t>
            </w:r>
          </w:p>
        </w:tc>
      </w:tr>
      <w:tr w:rsidR="0039153C" w:rsidTr="004E0E4A">
        <w:trPr>
          <w:trHeight w:val="568"/>
        </w:trPr>
        <w:tc>
          <w:tcPr>
            <w:tcW w:w="7621" w:type="dxa"/>
            <w:tcBorders>
              <w:top w:val="double" w:sz="5" w:space="0" w:color="000000"/>
              <w:left w:val="single" w:sz="5" w:space="0" w:color="000000"/>
              <w:bottom w:val="single" w:sz="5" w:space="0" w:color="000000"/>
              <w:right w:val="single" w:sz="5" w:space="0" w:color="000000"/>
            </w:tcBorders>
            <w:vAlign w:val="center"/>
          </w:tcPr>
          <w:p w:rsidR="0039153C" w:rsidRPr="004E0E4A" w:rsidRDefault="004E0E4A" w:rsidP="0029243D">
            <w:pPr>
              <w:pStyle w:val="Default"/>
              <w:jc w:val="both"/>
              <w:rPr>
                <w:rFonts w:ascii="Times New Roman" w:hAnsi="Times New Roman" w:cs="Times New Roman"/>
                <w:sz w:val="22"/>
                <w:szCs w:val="22"/>
              </w:rPr>
            </w:pPr>
            <w:r w:rsidRPr="004E0E4A">
              <w:rPr>
                <w:rFonts w:ascii="Times New Roman" w:hAnsi="Times New Roman" w:cs="Times New Roman"/>
                <w:sz w:val="22"/>
                <w:szCs w:val="22"/>
              </w:rPr>
              <w:t>P</w:t>
            </w:r>
            <w:r>
              <w:rPr>
                <w:rFonts w:ascii="Times New Roman" w:hAnsi="Times New Roman" w:cs="Times New Roman"/>
                <w:sz w:val="22"/>
                <w:szCs w:val="22"/>
              </w:rPr>
              <w:t>ublicação na imprensa oficial do ato que autoriza a contratação direta (salvo, as hipóteses de inexigibilidade e dispensa cujos valores não ultrapassem aqueles fixados nos incisos I e II do art. 24, da lei 8.666/93</w:t>
            </w:r>
            <w:r w:rsidR="0029243D">
              <w:rPr>
                <w:rFonts w:ascii="Times New Roman" w:hAnsi="Times New Roman" w:cs="Times New Roman"/>
                <w:sz w:val="22"/>
                <w:szCs w:val="22"/>
              </w:rPr>
              <w:t xml:space="preserve"> - </w:t>
            </w:r>
            <w:r>
              <w:rPr>
                <w:rFonts w:ascii="Times New Roman" w:hAnsi="Times New Roman" w:cs="Times New Roman"/>
                <w:sz w:val="22"/>
                <w:szCs w:val="22"/>
              </w:rPr>
              <w:t>ON 34/2011 da AGU).</w:t>
            </w:r>
          </w:p>
        </w:tc>
        <w:tc>
          <w:tcPr>
            <w:tcW w:w="1099" w:type="dxa"/>
            <w:tcBorders>
              <w:top w:val="double" w:sz="5" w:space="0" w:color="000000"/>
              <w:left w:val="single" w:sz="5" w:space="0" w:color="000000"/>
              <w:bottom w:val="single" w:sz="5" w:space="0" w:color="000000"/>
              <w:right w:val="single" w:sz="5" w:space="0" w:color="000000"/>
            </w:tcBorders>
          </w:tcPr>
          <w:p w:rsidR="0039153C" w:rsidRDefault="0039153C">
            <w:pPr>
              <w:pStyle w:val="Default"/>
              <w:rPr>
                <w:sz w:val="22"/>
                <w:szCs w:val="22"/>
              </w:rPr>
            </w:pPr>
          </w:p>
        </w:tc>
      </w:tr>
      <w:tr w:rsidR="00A85F21" w:rsidTr="004E0E4A">
        <w:trPr>
          <w:trHeight w:val="1635"/>
        </w:trPr>
        <w:tc>
          <w:tcPr>
            <w:tcW w:w="7621" w:type="dxa"/>
            <w:tcBorders>
              <w:top w:val="single" w:sz="5" w:space="0" w:color="000000"/>
              <w:left w:val="single" w:sz="5" w:space="0" w:color="000000"/>
              <w:bottom w:val="single" w:sz="5" w:space="0" w:color="000000"/>
              <w:right w:val="single" w:sz="5" w:space="0" w:color="000000"/>
            </w:tcBorders>
          </w:tcPr>
          <w:p w:rsidR="00A85F21" w:rsidRDefault="00A85F21" w:rsidP="001E0B30">
            <w:pPr>
              <w:pStyle w:val="Default"/>
              <w:jc w:val="both"/>
              <w:rPr>
                <w:color w:val="FF0000"/>
                <w:sz w:val="21"/>
                <w:szCs w:val="21"/>
              </w:rPr>
            </w:pPr>
            <w:r>
              <w:rPr>
                <w:color w:val="FF0000"/>
                <w:sz w:val="21"/>
                <w:szCs w:val="21"/>
              </w:rPr>
              <w:t>* O tempo médio de trâmite de um processo de contratação direta (dispensa ou inexigibilidade de licitação), a contar de seu recebimento pel</w:t>
            </w:r>
            <w:r w:rsidR="001E0B30">
              <w:rPr>
                <w:color w:val="FF0000"/>
                <w:sz w:val="21"/>
                <w:szCs w:val="21"/>
              </w:rPr>
              <w:t>a SCO</w:t>
            </w:r>
            <w:r>
              <w:rPr>
                <w:color w:val="FF0000"/>
                <w:sz w:val="21"/>
                <w:szCs w:val="21"/>
              </w:rPr>
              <w:t xml:space="preserve"> até ser entregue ao setor responsável pelo recebimento do bem ou pagamento do serviço, é de 20 dias. * Considerando-se o tempo de tramitação acima mencionado, solicitamos que os processos de pagamento de inscrição sejam iniciados, no mínimo, 20 dias antes do prazo final para emissão de Nota de Empenho/pagamento. </w:t>
            </w:r>
          </w:p>
        </w:tc>
        <w:tc>
          <w:tcPr>
            <w:tcW w:w="1099" w:type="dxa"/>
            <w:tcBorders>
              <w:top w:val="single" w:sz="5" w:space="0" w:color="000000"/>
              <w:left w:val="single" w:sz="5" w:space="0" w:color="000000"/>
              <w:bottom w:val="single" w:sz="5" w:space="0" w:color="000000"/>
              <w:right w:val="single" w:sz="5" w:space="0" w:color="000000"/>
            </w:tcBorders>
          </w:tcPr>
          <w:p w:rsidR="00A85F21" w:rsidRDefault="00A85F21">
            <w:pPr>
              <w:pStyle w:val="Default"/>
              <w:rPr>
                <w:color w:val="FF0000"/>
                <w:sz w:val="21"/>
                <w:szCs w:val="21"/>
              </w:rPr>
            </w:pPr>
          </w:p>
        </w:tc>
      </w:tr>
      <w:tr w:rsidR="00A85F21" w:rsidTr="004E0E4A">
        <w:trPr>
          <w:trHeight w:val="1093"/>
        </w:trPr>
        <w:tc>
          <w:tcPr>
            <w:tcW w:w="7621" w:type="dxa"/>
            <w:tcBorders>
              <w:top w:val="single" w:sz="5" w:space="0" w:color="000000"/>
            </w:tcBorders>
            <w:vAlign w:val="bottom"/>
          </w:tcPr>
          <w:p w:rsidR="00A85F21" w:rsidRDefault="00A85F21" w:rsidP="0039153C">
            <w:pPr>
              <w:pStyle w:val="Default"/>
              <w:jc w:val="both"/>
            </w:pPr>
            <w:r>
              <w:t xml:space="preserve">Salientamos que a participação do servidor no evento somente poderá ser efetivada após a emissão da nota de empenho. </w:t>
            </w:r>
          </w:p>
        </w:tc>
        <w:tc>
          <w:tcPr>
            <w:tcW w:w="1099" w:type="dxa"/>
            <w:tcBorders>
              <w:top w:val="single" w:sz="5" w:space="0" w:color="000000"/>
            </w:tcBorders>
          </w:tcPr>
          <w:p w:rsidR="00A85F21" w:rsidRDefault="00A85F21" w:rsidP="0039153C">
            <w:pPr>
              <w:pStyle w:val="Default"/>
              <w:jc w:val="both"/>
            </w:pPr>
          </w:p>
        </w:tc>
      </w:tr>
    </w:tbl>
    <w:p w:rsidR="00DA3B2F" w:rsidRDefault="00DA3B2F"/>
    <w:sectPr w:rsidR="00DA3B2F" w:rsidSect="0029243D">
      <w:headerReference w:type="default" r:id="rId6"/>
      <w:pgSz w:w="11906" w:h="16838"/>
      <w:pgMar w:top="55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3B4" w:rsidRDefault="009E73B4" w:rsidP="00DA3B2F">
      <w:pPr>
        <w:spacing w:after="0" w:line="240" w:lineRule="auto"/>
      </w:pPr>
      <w:r>
        <w:separator/>
      </w:r>
    </w:p>
  </w:endnote>
  <w:endnote w:type="continuationSeparator" w:id="0">
    <w:p w:rsidR="009E73B4" w:rsidRDefault="009E73B4" w:rsidP="00DA3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3B4" w:rsidRDefault="009E73B4" w:rsidP="00DA3B2F">
      <w:pPr>
        <w:spacing w:after="0" w:line="240" w:lineRule="auto"/>
      </w:pPr>
      <w:r>
        <w:separator/>
      </w:r>
    </w:p>
  </w:footnote>
  <w:footnote w:type="continuationSeparator" w:id="0">
    <w:p w:rsidR="009E73B4" w:rsidRDefault="009E73B4" w:rsidP="00DA3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2F" w:rsidRPr="00DA559D" w:rsidRDefault="00BF7AAD" w:rsidP="00DA3B2F">
    <w:pPr>
      <w:jc w:val="center"/>
      <w:rPr>
        <w:rFonts w:ascii="Arial" w:hAnsi="Arial" w:cs="Arial"/>
        <w:b/>
        <w:bCs/>
      </w:rPr>
    </w:pPr>
    <w:r>
      <w:rPr>
        <w:rFonts w:ascii="Arial" w:hAnsi="Arial" w:cs="Arial"/>
        <w:b/>
        <w:bCs/>
        <w:noProof/>
        <w:lang w:eastAsia="pt-BR"/>
      </w:rPr>
      <w:drawing>
        <wp:anchor distT="0" distB="0" distL="114300" distR="114300" simplePos="0" relativeHeight="251661312" behindDoc="0" locked="0" layoutInCell="1" allowOverlap="0">
          <wp:simplePos x="0" y="0"/>
          <wp:positionH relativeFrom="column">
            <wp:posOffset>-266065</wp:posOffset>
          </wp:positionH>
          <wp:positionV relativeFrom="paragraph">
            <wp:posOffset>-171450</wp:posOffset>
          </wp:positionV>
          <wp:extent cx="537210" cy="715010"/>
          <wp:effectExtent l="19050" t="0" r="0" b="0"/>
          <wp:wrapSquare wrapText="bothSides"/>
          <wp:docPr id="2" name="Imagem 0" descr="UFPB_83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UFPB_83x110.png"/>
                  <pic:cNvPicPr>
                    <a:picLocks noChangeAspect="1" noChangeArrowheads="1"/>
                  </pic:cNvPicPr>
                </pic:nvPicPr>
                <pic:blipFill>
                  <a:blip r:embed="rId1"/>
                  <a:srcRect/>
                  <a:stretch>
                    <a:fillRect/>
                  </a:stretch>
                </pic:blipFill>
                <pic:spPr bwMode="auto">
                  <a:xfrm>
                    <a:off x="0" y="0"/>
                    <a:ext cx="537210" cy="715010"/>
                  </a:xfrm>
                  <a:prstGeom prst="rect">
                    <a:avLst/>
                  </a:prstGeom>
                  <a:noFill/>
                  <a:ln w="9525">
                    <a:noFill/>
                    <a:miter lim="800000"/>
                    <a:headEnd/>
                    <a:tailEnd/>
                  </a:ln>
                </pic:spPr>
              </pic:pic>
            </a:graphicData>
          </a:graphic>
        </wp:anchor>
      </w:drawing>
    </w:r>
    <w:r w:rsidR="00DA3B2F">
      <w:rPr>
        <w:rFonts w:ascii="Arial" w:hAnsi="Arial" w:cs="Arial"/>
        <w:b/>
        <w:bCs/>
        <w:noProof/>
        <w:lang w:eastAsia="pt-BR"/>
      </w:rPr>
      <w:drawing>
        <wp:anchor distT="0" distB="0" distL="114300" distR="114300" simplePos="0" relativeHeight="251660288" behindDoc="0" locked="0" layoutInCell="1" allowOverlap="0">
          <wp:simplePos x="0" y="0"/>
          <wp:positionH relativeFrom="column">
            <wp:posOffset>5485765</wp:posOffset>
          </wp:positionH>
          <wp:positionV relativeFrom="paragraph">
            <wp:posOffset>-85090</wp:posOffset>
          </wp:positionV>
          <wp:extent cx="706755" cy="824230"/>
          <wp:effectExtent l="19050" t="0" r="0" b="0"/>
          <wp:wrapSquare wrapText="bothSides"/>
          <wp:docPr id="1" name="Objeto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3"/>
                  <pic:cNvPicPr>
                    <a:picLocks noChangeArrowheads="1"/>
                  </pic:cNvPicPr>
                </pic:nvPicPr>
                <pic:blipFill>
                  <a:blip r:embed="rId2"/>
                  <a:srcRect t="-711" r="-349" b="-1067"/>
                  <a:stretch>
                    <a:fillRect/>
                  </a:stretch>
                </pic:blipFill>
                <pic:spPr bwMode="auto">
                  <a:xfrm>
                    <a:off x="0" y="0"/>
                    <a:ext cx="706755" cy="824230"/>
                  </a:xfrm>
                  <a:prstGeom prst="rect">
                    <a:avLst/>
                  </a:prstGeom>
                  <a:noFill/>
                  <a:ln w="9525">
                    <a:noFill/>
                    <a:miter lim="800000"/>
                    <a:headEnd/>
                    <a:tailEnd/>
                  </a:ln>
                </pic:spPr>
              </pic:pic>
            </a:graphicData>
          </a:graphic>
        </wp:anchor>
      </w:drawing>
    </w:r>
    <w:r w:rsidR="00DA3B2F" w:rsidRPr="00DA559D">
      <w:rPr>
        <w:rFonts w:ascii="Arial" w:hAnsi="Arial" w:cs="Arial"/>
        <w:b/>
        <w:bCs/>
      </w:rPr>
      <w:t>MINISTÉRIO DA EDUCAÇÃO</w:t>
    </w:r>
  </w:p>
  <w:p w:rsidR="00DA3B2F" w:rsidRPr="00DA559D" w:rsidRDefault="00DA3B2F" w:rsidP="00DA3B2F">
    <w:pPr>
      <w:tabs>
        <w:tab w:val="left" w:pos="526"/>
        <w:tab w:val="center" w:pos="4320"/>
      </w:tabs>
      <w:ind w:left="-180" w:right="-316"/>
      <w:rPr>
        <w:rFonts w:ascii="Arial" w:hAnsi="Arial" w:cs="Arial"/>
        <w:b/>
        <w:bCs/>
      </w:rPr>
    </w:pPr>
    <w:r>
      <w:rPr>
        <w:rFonts w:ascii="Arial" w:hAnsi="Arial" w:cs="Arial"/>
        <w:b/>
        <w:bCs/>
      </w:rPr>
      <w:tab/>
    </w:r>
    <w:r>
      <w:rPr>
        <w:rFonts w:ascii="Arial" w:hAnsi="Arial" w:cs="Arial"/>
        <w:b/>
        <w:bCs/>
      </w:rPr>
      <w:tab/>
      <w:t xml:space="preserve">UNIVERSIDADE FEDERAL DA PARAÍBA </w:t>
    </w:r>
  </w:p>
  <w:p w:rsidR="00DA3B2F" w:rsidRPr="00DA559D" w:rsidRDefault="00DA3B2F" w:rsidP="00DA3B2F">
    <w:pPr>
      <w:jc w:val="center"/>
      <w:rPr>
        <w:rFonts w:ascii="Arial" w:hAnsi="Arial" w:cs="Arial"/>
        <w:b/>
        <w:bCs/>
      </w:rPr>
    </w:pPr>
    <w:r>
      <w:rPr>
        <w:rFonts w:ascii="Arial" w:hAnsi="Arial" w:cs="Arial"/>
        <w:b/>
        <w:bCs/>
      </w:rPr>
      <w:t>BIBLIOTECA CENTRAL</w:t>
    </w:r>
  </w:p>
  <w:p w:rsidR="00DA3B2F" w:rsidRDefault="00DA3B2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A3B2F"/>
    <w:rsid w:val="000D5E12"/>
    <w:rsid w:val="001E0B30"/>
    <w:rsid w:val="0029243D"/>
    <w:rsid w:val="0039153C"/>
    <w:rsid w:val="004E0E4A"/>
    <w:rsid w:val="008458AC"/>
    <w:rsid w:val="009E73B4"/>
    <w:rsid w:val="00A85F21"/>
    <w:rsid w:val="00BF7AAD"/>
    <w:rsid w:val="00D92F02"/>
    <w:rsid w:val="00DA3B2F"/>
    <w:rsid w:val="00DA6B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A3B2F"/>
    <w:pPr>
      <w:autoSpaceDE w:val="0"/>
      <w:autoSpaceDN w:val="0"/>
      <w:adjustRightInd w:val="0"/>
      <w:spacing w:after="0" w:line="240" w:lineRule="auto"/>
    </w:pPr>
    <w:rPr>
      <w:rFonts w:ascii="Times" w:hAnsi="Times" w:cs="Times"/>
      <w:color w:val="000000"/>
      <w:sz w:val="24"/>
      <w:szCs w:val="24"/>
    </w:rPr>
  </w:style>
  <w:style w:type="paragraph" w:styleId="Cabealho">
    <w:name w:val="header"/>
    <w:basedOn w:val="Normal"/>
    <w:link w:val="CabealhoChar"/>
    <w:uiPriority w:val="99"/>
    <w:semiHidden/>
    <w:unhideWhenUsed/>
    <w:rsid w:val="00DA3B2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A3B2F"/>
  </w:style>
  <w:style w:type="paragraph" w:styleId="Rodap">
    <w:name w:val="footer"/>
    <w:basedOn w:val="Normal"/>
    <w:link w:val="RodapChar"/>
    <w:uiPriority w:val="99"/>
    <w:semiHidden/>
    <w:unhideWhenUsed/>
    <w:rsid w:val="00DA3B2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A3B2F"/>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437</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Vivaldo AC Jr</cp:lastModifiedBy>
  <cp:revision>4</cp:revision>
  <cp:lastPrinted>2019-04-09T15:44:00Z</cp:lastPrinted>
  <dcterms:created xsi:type="dcterms:W3CDTF">2018-03-01T13:23:00Z</dcterms:created>
  <dcterms:modified xsi:type="dcterms:W3CDTF">2019-04-09T16:45:00Z</dcterms:modified>
</cp:coreProperties>
</file>